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5op0bte0ccj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Resumo de STEM - 3º bimestre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6096000</wp:posOffset>
            </wp:positionH>
            <wp:positionV relativeFrom="paragraph">
              <wp:posOffset>0</wp:posOffset>
            </wp:positionV>
            <wp:extent cx="762000" cy="762000"/>
            <wp:effectExtent b="0" l="0" r="0" t="0"/>
            <wp:wrapSquare wrapText="bothSides" distB="0" distT="0" distL="114300" distR="114300"/>
            <wp:docPr id="6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177" r="17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- 9º ano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Relembrando o 2˚ bimestre...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Anatomia comparada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Ser humano: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cintura pélvica mais grossa, feita para suportar o peso do corpo em 2 pernas em um ângulo de 180˚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 vivo calcâneo (encosta o calcanhar no chão ao andar)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ângulo de 60˚ entre a mandíbula e osso da glabela (entre o nariz e a testa), quanto maior o ângulo, maior o cérebro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olhos no centro na face, com noção de profundidade. Quanto mais lateralizados os olhos são, maior é a visão periférica, porém a noção de profundidade é menor.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mãos com o polegar o opositor, possibilitando o movimento de pinça</w:t>
      </w:r>
    </w:p>
    <w:p w:rsidR="00000000" w:rsidDel="00000000" w:rsidP="00000000" w:rsidRDefault="00000000" w:rsidRPr="00000000" w14:paraId="0000000F">
      <w:pPr>
        <w:spacing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3˚ bimestre: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      Aula 16 - Glossário da genética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Genética: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estudo da hereditariedade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DNA: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composto orgânico que tem como função coordenar o desenvolvimento dos seres vivos, armazenar e transmitir informações genéticas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Cromossomo: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estruturas compostas de DNA que carregam os genes de um ser vivo (os humanos possuem 2 cromossomos sexuais e 44 autossomos, isto é, que não estão ligados com os cromossomos sexuais)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segmento específico de um cromossomo que é responsável pela codificação de proteína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Cariótipo: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conjunto de cromossomos contidos na célula de um organismo. Diferentes espécies podem ter diferentes cariótipos (Ex: o cariótipo humano é de 46 cromossomos)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Fenótipo: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características físicas observáveis que podem ser alteradas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Genótipo: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Constituição genética de um indivíduo que não pode ser alterada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Alelos: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versão de um gene 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              ↳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dominante (A):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alelo que predomina (homozigoto ou heterozigoto)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              ↳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recessivo (a):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alelo que carrega os genes cujo o efeito não se expressa a não ser que existam dois alelos recessivos (homozigoto)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Heterozigoto: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alelos são diferentes (Ex: Aa)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Homozigoto: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alelos são iguais (Ex: AA, aa)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Aula 17 - Hereditariedade: introdução a genética 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Albinismo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distúrbio congênito caracterizado pela ausência completa ou parcial de pigmento na pele, cabelos e olhos, devido à ausência ou defeito de uma enzima envolvida na produção de melanina.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Autossômica dominante (AA ou Aa)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single"/>
          <w:rtl w:val="0"/>
        </w:rPr>
        <w:t xml:space="preserve">olidactilia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anomalia causada pela manifestação de um alelo autossômico variável,dominante com expressividade consistindo na alteração quantitativa anormal dos dedos da mão (quirodáctilos) ou dos dedos do pé (pododáctilos).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Autossômica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dominante (BB ou Bb)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single"/>
          <w:rtl w:val="0"/>
        </w:rPr>
        <w:t xml:space="preserve">Daltonismo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caracterizado por uma anomalia na visão das cores, esp. uma confusão entre o vermelho e o verde.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Ligada ao X recessivo (</w:t>
      </w:r>
      <m:oMath>
        <m:sSup>
          <m:sSupPr>
            <m:ctrlPr>
              <w:rPr>
                <w:rFonts w:ascii="Arial" w:cs="Arial" w:eastAsia="Arial" w:hAnsi="Arial"/>
                <w:color w:val="222222"/>
                <w:highlight w:val="white"/>
              </w:rPr>
            </m:ctrlPr>
          </m:sSupPr>
          <m:e>
            <m:r>
              <w:rPr>
                <w:rFonts w:ascii="Arial" w:cs="Arial" w:eastAsia="Arial" w:hAnsi="Arial"/>
                <w:color w:val="222222"/>
                <w:highlight w:val="white"/>
              </w:rPr>
              <m:t xml:space="preserve">X</m:t>
            </m:r>
          </m:e>
          <m:sup>
            <m:r>
              <w:rPr>
                <w:rFonts w:ascii="Arial" w:cs="Arial" w:eastAsia="Arial" w:hAnsi="Arial"/>
                <w:color w:val="222222"/>
                <w:highlight w:val="white"/>
              </w:rPr>
              <m:t xml:space="preserve">D</m:t>
            </m:r>
          </m:sup>
        </m:sSup>
      </m:oMath>
      <m:oMath>
        <m:sSup>
          <m:sSupPr>
            <m:ctrlPr>
              <w:rPr>
                <w:rFonts w:ascii="Arial" w:cs="Arial" w:eastAsia="Arial" w:hAnsi="Arial"/>
                <w:color w:val="222222"/>
                <w:highlight w:val="white"/>
              </w:rPr>
            </m:ctrlPr>
          </m:sSupPr>
          <m:e>
            <m:r>
              <w:rPr>
                <w:rFonts w:ascii="Arial" w:cs="Arial" w:eastAsia="Arial" w:hAnsi="Arial"/>
                <w:color w:val="222222"/>
                <w:highlight w:val="white"/>
              </w:rPr>
              <m:t xml:space="preserve">X</m:t>
            </m:r>
          </m:e>
          <m:sup>
            <m:r>
              <w:rPr>
                <w:rFonts w:ascii="Arial" w:cs="Arial" w:eastAsia="Arial" w:hAnsi="Arial"/>
                <w:color w:val="222222"/>
                <w:highlight w:val="white"/>
              </w:rPr>
              <m:t xml:space="preserve">d</m:t>
            </m:r>
          </m:sup>
        </m:sSup>
      </m:oMath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em mulheres e </w:t>
      </w:r>
      <m:oMath>
        <m:sSup>
          <m:sSupPr>
            <m:ctrlPr>
              <w:rPr>
                <w:rFonts w:ascii="Arial" w:cs="Arial" w:eastAsia="Arial" w:hAnsi="Arial"/>
                <w:color w:val="222222"/>
                <w:highlight w:val="white"/>
              </w:rPr>
            </m:ctrlPr>
          </m:sSupPr>
          <m:e>
            <m:r>
              <w:rPr>
                <w:rFonts w:ascii="Arial" w:cs="Arial" w:eastAsia="Arial" w:hAnsi="Arial"/>
                <w:color w:val="222222"/>
                <w:highlight w:val="white"/>
              </w:rPr>
              <m:t xml:space="preserve">X</m:t>
            </m:r>
          </m:e>
          <m:sup>
            <m:r>
              <w:rPr>
                <w:rFonts w:ascii="Arial" w:cs="Arial" w:eastAsia="Arial" w:hAnsi="Arial"/>
                <w:color w:val="222222"/>
                <w:highlight w:val="white"/>
              </w:rPr>
              <m:t xml:space="preserve">D</m:t>
            </m:r>
          </m:sup>
        </m:sSup>
        <m:r>
          <w:rPr>
            <w:rFonts w:ascii="Arial" w:cs="Arial" w:eastAsia="Arial" w:hAnsi="Arial"/>
            <w:color w:val="222222"/>
            <w:highlight w:val="white"/>
          </w:rPr>
          <m:t xml:space="preserve"> y </m:t>
        </m:r>
      </m:oMath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em homens)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3524250</wp:posOffset>
            </wp:positionH>
            <wp:positionV relativeFrom="paragraph">
              <wp:posOffset>361950</wp:posOffset>
            </wp:positionV>
            <wp:extent cx="3547975" cy="1519238"/>
            <wp:effectExtent b="0" l="0" r="0" t="0"/>
            <wp:wrapSquare wrapText="bothSides" distB="114300" distT="114300" distL="114300" distR="114300"/>
            <wp:docPr descr="Resultado de imagem para quadro de punnett" id="56" name="image6.jpg"/>
            <a:graphic>
              <a:graphicData uri="http://schemas.openxmlformats.org/drawingml/2006/picture">
                <pic:pic>
                  <pic:nvPicPr>
                    <pic:cNvPr descr="Resultado de imagem para quadro de punnett"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7975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Quadro de Punnett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 como objetivo prever a combinação genética dos gametas da mãe e do pai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Em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vermelho: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genes da mãe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Em </w:t>
      </w:r>
      <w:r w:rsidDel="00000000" w:rsidR="00000000" w:rsidRPr="00000000">
        <w:rPr>
          <w:rFonts w:ascii="Times New Roman" w:cs="Times New Roman" w:eastAsia="Times New Roman" w:hAnsi="Times New Roman"/>
          <w:color w:val="2e75b5"/>
          <w:sz w:val="24"/>
          <w:szCs w:val="24"/>
          <w:rtl w:val="0"/>
        </w:rPr>
        <w:t xml:space="preserve">azul: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genes do pai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Regra do e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probabilidade de dois ou mais eventos ocorrerem simultaneamente. Nesse caso é necessário multiplicar as frações de probabilidade de cada evento.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(Cheque a lista de exercícios disponível no site para maior compreensão)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Aula 18 - Genética nos grupos sanguíneos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295275</wp:posOffset>
            </wp:positionV>
            <wp:extent cx="2999680" cy="1728788"/>
            <wp:effectExtent b="0" l="0" r="0" t="0"/>
            <wp:wrapSquare wrapText="bothSides" distB="114300" distT="114300" distL="114300" distR="114300"/>
            <wp:docPr id="5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9680" cy="1728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Antígeno: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moléculas estranhas a um organismo animal presentes nas hemácias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Anticorpo: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proteína especial de defesa presente no soro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introduzirmos sangue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e75b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um indivíduo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haverá aglutinação das hemácias doadas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Rh positivo: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contém o fator Rh (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Rh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+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Rh negativo: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contém o fator Rh (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Rh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realizar o teste de tipagem sanguínea, utilize as informações do genótipo de cada tipo sanguíneo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Aula 19 - Estudo genético familiar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Símbolos de um heredograma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3305175</wp:posOffset>
            </wp:positionH>
            <wp:positionV relativeFrom="paragraph">
              <wp:posOffset>247650</wp:posOffset>
            </wp:positionV>
            <wp:extent cx="247650" cy="857250"/>
            <wp:effectExtent b="0" l="0" r="0" t="0"/>
            <wp:wrapSquare wrapText="bothSides" distB="114300" distT="114300" distL="114300" distR="114300"/>
            <wp:docPr id="6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247650</wp:posOffset>
            </wp:positionV>
            <wp:extent cx="611877" cy="1662113"/>
            <wp:effectExtent b="0" l="0" r="0" t="0"/>
            <wp:wrapSquare wrapText="bothSides" distB="114300" distT="114300" distL="114300" distR="114300"/>
            <wp:docPr id="7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877" cy="1662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Casamento                                                           Indivíduo do sexo masculino             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Acasalamento-extraconjugal                                Indivíduo do sexo feminino                                                 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Divórcio                                                               Sexo indefinido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295275</wp:posOffset>
            </wp:positionV>
            <wp:extent cx="400050" cy="804863"/>
            <wp:effectExtent b="0" l="0" r="0" t="0"/>
            <wp:wrapSquare wrapText="bothSides" distB="114300" distT="114300" distL="114300" distR="114300"/>
            <wp:docPr id="6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804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Acasalamento-consanguíneo                                N.o de filhos do sexo indicado              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Gêmeos-monozigóticos                                            Afetado 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Gêmeos-dizigóticos                                             Heterozigóticos para um caráter autossomico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   Aula 1 - Linha do tempo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Globalização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processo de intensificação de relações sociais, políticas e econômicas a nível global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Aspectos importantes da globalização: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Comunicação: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avanço tecnológico permitiu a união de pessoas de diferentes lugares no mundo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Transporte: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condição essencial para que as negociações entre países e blocos econômicos possam ser feitas em bases de maior reciprocidade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Ciência: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O conhecimento científico é universal por natureza e adquiri-lo não depende de fronteiras, de acordos comerciais ou de proteção de patentes, facilitando seu avanço.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Aula 2 - Aristóteles, Galileu e o movimento dos corpos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4562475</wp:posOffset>
            </wp:positionH>
            <wp:positionV relativeFrom="paragraph">
              <wp:posOffset>123825</wp:posOffset>
            </wp:positionV>
            <wp:extent cx="1985645" cy="1916430"/>
            <wp:effectExtent b="0" l="0" r="0" t="0"/>
            <wp:wrapSquare wrapText="bothSides" distB="114300" distT="114300" distL="114300" distR="114300"/>
            <wp:docPr id="6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16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Aristóteles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Cosmos aristotélicos 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Universo limitado e finito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Modelo geocêntrico (terra é o centro do universo)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Estrelas fixas e presas a esferas em volta da terra</w:t>
      </w:r>
    </w:p>
    <w:p w:rsidR="00000000" w:rsidDel="00000000" w:rsidP="00000000" w:rsidRDefault="00000000" w:rsidRPr="00000000" w14:paraId="0000005E">
      <w:pPr>
        <w:spacing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Região sublunar: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imperfeita, em constante mudança, formada a partir de terra, fogo, água e ar</w:t>
      </w:r>
    </w:p>
    <w:p w:rsidR="00000000" w:rsidDel="00000000" w:rsidP="00000000" w:rsidRDefault="00000000" w:rsidRPr="00000000" w14:paraId="00000060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Região celestial: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perfeita e imutável, constituída de éter</w:t>
      </w:r>
    </w:p>
    <w:p w:rsidR="00000000" w:rsidDel="00000000" w:rsidP="00000000" w:rsidRDefault="00000000" w:rsidRPr="00000000" w14:paraId="00000061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Aristóteles acreditava que existiam dois tipos de movimentos, o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natural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o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 violento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3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Natural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movimento em que os corpos buscam seu lugar natural no universo</w:t>
      </w:r>
    </w:p>
    <w:p w:rsidR="00000000" w:rsidDel="00000000" w:rsidP="00000000" w:rsidRDefault="00000000" w:rsidRPr="00000000" w14:paraId="00000065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Violento -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movimento em que os corpos são afastados de seu lugar de origem mediante a aplicação de uma força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Galileu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 lei da Inércia</w:t>
      </w:r>
    </w:p>
    <w:p w:rsidR="00000000" w:rsidDel="00000000" w:rsidP="00000000" w:rsidRDefault="00000000" w:rsidRPr="00000000" w14:paraId="00000069">
      <w:pPr>
        <w:spacing w:line="240" w:lineRule="auto"/>
        <w:ind w:left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5057775</wp:posOffset>
            </wp:positionH>
            <wp:positionV relativeFrom="paragraph">
              <wp:posOffset>142875</wp:posOffset>
            </wp:positionV>
            <wp:extent cx="2105025" cy="666750"/>
            <wp:effectExtent b="0" l="0" r="0" t="0"/>
            <wp:wrapSquare wrapText="bothSides" distB="114300" distT="114300" distL="114300" distR="114300"/>
            <wp:docPr id="6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1º Experimento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Após descer o plano em declive, a bola subia pelo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até atingir aproximadamente a mesma altura.</w:t>
      </w:r>
    </w:p>
    <w:p w:rsidR="00000000" w:rsidDel="00000000" w:rsidP="00000000" w:rsidRDefault="00000000" w:rsidRPr="00000000" w14:paraId="0000006C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295275</wp:posOffset>
            </wp:positionV>
            <wp:extent cx="2243138" cy="580271"/>
            <wp:effectExtent b="0" l="0" r="0" t="0"/>
            <wp:wrapSquare wrapText="bothSides" distB="114300" distT="114300" distL="114300" distR="114300"/>
            <wp:docPr id="6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5802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2º Experimento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“Se eu tivesse um plano horizontal longo, quanto a bola percorreria para atingir a mesma altura?”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bola ficará em movimento para sempre e nunca atingiria a altura inicial.</w:t>
      </w:r>
    </w:p>
    <w:p w:rsidR="00000000" w:rsidDel="00000000" w:rsidP="00000000" w:rsidRDefault="00000000" w:rsidRPr="00000000" w14:paraId="00000070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72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Aula 3 - Referencial e trajetória</w:t>
      </w:r>
    </w:p>
    <w:p w:rsidR="00000000" w:rsidDel="00000000" w:rsidP="00000000" w:rsidRDefault="00000000" w:rsidRPr="00000000" w14:paraId="00000073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Trajetória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todos os pontos que um pessoa percorreu para chegar a sua localização atual</w:t>
      </w:r>
    </w:p>
    <w:p w:rsidR="00000000" w:rsidDel="00000000" w:rsidP="00000000" w:rsidRDefault="00000000" w:rsidRPr="00000000" w14:paraId="00000075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6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Referencial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corpo ou objeto em relação ao qual podemos determinar a localização dos objetos, e  assim determinar se há repouso do movimento</w:t>
      </w:r>
    </w:p>
    <w:p w:rsidR="00000000" w:rsidDel="00000000" w:rsidP="00000000" w:rsidRDefault="00000000" w:rsidRPr="00000000" w14:paraId="00000077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 trajetória em relação a um sensor:</w:t>
      </w:r>
    </w:p>
    <w:p w:rsidR="00000000" w:rsidDel="00000000" w:rsidP="00000000" w:rsidRDefault="00000000" w:rsidRPr="00000000" w14:paraId="00000079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Sensor fixo na mesa -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posição varia em relação ao sensor pois o indivíduo se desaproximou do mesmo</w:t>
      </w:r>
    </w:p>
    <w:p w:rsidR="00000000" w:rsidDel="00000000" w:rsidP="00000000" w:rsidRDefault="00000000" w:rsidRPr="00000000" w14:paraId="0000007B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    Sensor se movimentando com a pessoa -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posição não varia em relação ao sensor, consequentemente a posição está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repouso </w:t>
      </w:r>
    </w:p>
    <w:p w:rsidR="00000000" w:rsidDel="00000000" w:rsidP="00000000" w:rsidRDefault="00000000" w:rsidRPr="00000000" w14:paraId="0000007C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E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7F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Aula 4 - Velocidade média</w:t>
      </w:r>
    </w:p>
    <w:p w:rsidR="00000000" w:rsidDel="00000000" w:rsidP="00000000" w:rsidRDefault="00000000" w:rsidRPr="00000000" w14:paraId="00000080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Corresponde ao deslocamento em uma certa trajetória, em um tempo determinado.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Km/h -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quantidade de quilômetros percorridos em 1 hora</w:t>
      </w:r>
    </w:p>
    <w:p w:rsidR="00000000" w:rsidDel="00000000" w:rsidP="00000000" w:rsidRDefault="00000000" w:rsidRPr="00000000" w14:paraId="0000008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190500" cy="254000"/>
            <wp:effectExtent b="0" l="0" r="0" t="0"/>
            <wp:docPr id="61" name="image11.gif"/>
            <a:graphic>
              <a:graphicData uri="http://schemas.openxmlformats.org/drawingml/2006/picture">
                <pic:pic>
                  <pic:nvPicPr>
                    <pic:cNvPr id="0" name="image11.gif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Velocidade Média</w:t>
      </w:r>
    </w:p>
    <w:p w:rsidR="00000000" w:rsidDel="00000000" w:rsidP="00000000" w:rsidRDefault="00000000" w:rsidRPr="00000000" w14:paraId="0000008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15900" cy="215900"/>
            <wp:effectExtent b="0" l="0" r="0" t="0"/>
            <wp:docPr id="54" name="image10.gif"/>
            <a:graphic>
              <a:graphicData uri="http://schemas.openxmlformats.org/drawingml/2006/picture">
                <pic:pic>
                  <pic:nvPicPr>
                    <pic:cNvPr id="0" name="image10.gif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Intervalo do deslocamento [posição final – posição inicial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787400" cy="254000"/>
            <wp:effectExtent b="0" l="0" r="0" t="0"/>
            <wp:docPr id="53" name="image12.gif"/>
            <a:graphic>
              <a:graphicData uri="http://schemas.openxmlformats.org/drawingml/2006/picture">
                <pic:pic>
                  <pic:nvPicPr>
                    <pic:cNvPr id="0" name="image12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)]</w:t>
      </w:r>
    </w:p>
    <w:p w:rsidR="00000000" w:rsidDel="00000000" w:rsidP="00000000" w:rsidRDefault="00000000" w:rsidRPr="00000000" w14:paraId="0000008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15900" cy="203200"/>
            <wp:effectExtent b="0" l="0" r="0" t="0"/>
            <wp:docPr id="6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Intervalo de tempo [tempo final – tempo inicial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749300" cy="254000"/>
            <wp:effectExtent b="0" l="0" r="0" t="0"/>
            <wp:docPr id="55" name="image9.gif"/>
            <a:graphic>
              <a:graphicData uri="http://schemas.openxmlformats.org/drawingml/2006/picture">
                <pic:pic>
                  <pic:nvPicPr>
                    <pic:cNvPr id="0" name="image9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)]</w:t>
      </w:r>
    </w:p>
    <w:p w:rsidR="00000000" w:rsidDel="00000000" w:rsidP="00000000" w:rsidRDefault="00000000" w:rsidRPr="00000000" w14:paraId="00000087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5362575</wp:posOffset>
            </wp:positionH>
            <wp:positionV relativeFrom="paragraph">
              <wp:posOffset>219075</wp:posOffset>
            </wp:positionV>
            <wp:extent cx="862013" cy="637653"/>
            <wp:effectExtent b="0" l="0" r="0" t="0"/>
            <wp:wrapSquare wrapText="bothSides" distB="114300" distT="114300" distL="114300" distR="114300"/>
            <wp:docPr id="62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637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quação que relaciona deslocamento, intervalo de tempo e velocidade média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533400</wp:posOffset>
            </wp:positionV>
            <wp:extent cx="1176338" cy="840241"/>
            <wp:effectExtent b="0" l="0" r="0" t="0"/>
            <wp:wrapSquare wrapText="bothSides" distB="114300" distT="114300" distL="114300" distR="114300"/>
            <wp:docPr id="71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840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Conversão de medidas: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transformar km/h em m/s, utilizamos a seguinte equação:</w:t>
      </w:r>
    </w:p>
    <w:p w:rsidR="00000000" w:rsidDel="00000000" w:rsidP="00000000" w:rsidRDefault="00000000" w:rsidRPr="00000000" w14:paraId="0000008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Aula 5 - Movimento retilíneo e uniforme (MRU) </w:t>
      </w:r>
    </w:p>
    <w:p w:rsidR="00000000" w:rsidDel="00000000" w:rsidP="00000000" w:rsidRDefault="00000000" w:rsidRPr="00000000" w14:paraId="0000009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caso, a aceleração é igual a 0, pois a velocidade não varia, ou seja, para a mesma variação de tempo temos a mesma variação de espaço.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352425</wp:posOffset>
            </wp:positionV>
            <wp:extent cx="1685925" cy="1266825"/>
            <wp:effectExtent b="0" l="0" r="0" t="0"/>
            <wp:wrapSquare wrapText="bothSides" distB="114300" distT="114300" distL="114300" distR="114300"/>
            <wp:docPr id="5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Velocidade negativa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o móvel está se movimentando no sentido contrário da trajetória (orientação do movimento). Neste caso o movimento 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retrógrado</w:t>
      </w:r>
    </w:p>
    <w:p w:rsidR="00000000" w:rsidDel="00000000" w:rsidP="00000000" w:rsidRDefault="00000000" w:rsidRPr="00000000" w14:paraId="0000009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114300</wp:posOffset>
            </wp:positionV>
            <wp:extent cx="1633538" cy="1295400"/>
            <wp:effectExtent b="0" l="0" r="0" t="0"/>
            <wp:wrapSquare wrapText="bothSides" distB="114300" distT="114300" distL="114300" distR="114300"/>
            <wp:docPr id="5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Velocidade positiva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móvel está se movimentando no mesmo sentido da trajetória. Neste caso  movimento é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progressivo</w:t>
      </w:r>
    </w:p>
    <w:p w:rsidR="00000000" w:rsidDel="00000000" w:rsidP="00000000" w:rsidRDefault="00000000" w:rsidRPr="00000000" w14:paraId="0000009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9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Para calcular a velocidade instantânea de um móvel, podemos utilizar a seguinte equação:</w:t>
      </w:r>
    </w:p>
    <w:p w:rsidR="00000000" w:rsidDel="00000000" w:rsidP="00000000" w:rsidRDefault="00000000" w:rsidRPr="00000000" w14:paraId="0000009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Sf- Si = tf x Vm </m:t>
        </m:r>
      </m:oMath>
      <w:sdt>
        <w:sdtPr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   ⇒  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m:oMath>
        <m:r>
          <w:rPr>
            <w:rFonts w:ascii="Times New Roman" w:cs="Times New Roman" w:eastAsia="Times New Roman" w:hAnsi="Times New Roman"/>
            <w:b w:val="1"/>
            <w:color w:val="0b5394"/>
            <w:sz w:val="24"/>
            <w:szCs w:val="24"/>
            <w:u w:val="single"/>
          </w:rPr>
          <m:t xml:space="preserve">Sf = tf x Vm + Si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9B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Aula 6 - Aceleração e MRUV</w:t>
      </w:r>
    </w:p>
    <w:p w:rsidR="00000000" w:rsidDel="00000000" w:rsidP="00000000" w:rsidRDefault="00000000" w:rsidRPr="00000000" w14:paraId="0000009C">
      <w:pPr>
        <w:spacing w:after="0" w:line="276" w:lineRule="auto"/>
        <w:ind w:left="720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4676775</wp:posOffset>
            </wp:positionH>
            <wp:positionV relativeFrom="paragraph">
              <wp:posOffset>285750</wp:posOffset>
            </wp:positionV>
            <wp:extent cx="2000250" cy="1533187"/>
            <wp:effectExtent b="0" l="0" r="0" t="0"/>
            <wp:wrapSquare wrapText="bothSides" distB="114300" distT="114300" distL="114300" distR="114300"/>
            <wp:docPr id="7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33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D">
      <w:pPr>
        <w:spacing w:after="0" w:line="276" w:lineRule="auto"/>
        <w:ind w:left="72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O movimento retilíneo uniformemente variado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MRUV)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pode ser definido como um movimento de um móvel em relação a um referência ao longo de uma reta, na qual sua aceleração é sempre constante: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line="276" w:lineRule="auto"/>
        <w:ind w:left="216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Quando a aceleração aumenta a velocidade, o movimento é classificado como acelerado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line="276" w:lineRule="auto"/>
        <w:ind w:left="216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quando a aceleração diminui a velocidade, movimento é classificado como desacelerado ( o valor da aceleração é negativo nesse caso)</w:t>
      </w:r>
    </w:p>
    <w:p w:rsidR="00000000" w:rsidDel="00000000" w:rsidP="00000000" w:rsidRDefault="00000000" w:rsidRPr="00000000" w14:paraId="000000A0">
      <w:pPr>
        <w:spacing w:after="0" w:line="276" w:lineRule="auto"/>
        <w:ind w:left="72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       Aceleração: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é a taxa de variação da velocidade no tempo, essa variação mostra o quanto a velocidade aumenta ou diminui.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aceleração é normalmente medida em 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m/s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A4">
      <w:pPr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Para calcular a aceleração constante de um móvel, podemos utilizar as seguintes equações: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= </w:t>
      </w:r>
      <m:oMath>
        <m:f>
          <m:fPr>
            <m:ctrlPr>
              <w:rPr>
                <w:rFonts w:ascii="Times New Roman" w:cs="Times New Roman" w:eastAsia="Times New Roman" w:hAnsi="Times New Roman"/>
                <w:sz w:val="36"/>
                <w:szCs w:val="36"/>
                <w:u w:val="single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36"/>
                <w:szCs w:val="36"/>
                <w:u w:val="single"/>
              </w:rPr>
              <m:t xml:space="preserve">Vf - Vi</m:t>
            </m:r>
          </m:num>
          <m:den>
            <m:r>
              <w:rPr>
                <w:rFonts w:ascii="Times New Roman" w:cs="Times New Roman" w:eastAsia="Times New Roman" w:hAnsi="Times New Roman"/>
                <w:sz w:val="36"/>
                <w:szCs w:val="36"/>
                <w:u w:val="single"/>
              </w:rPr>
              <m:t xml:space="preserve">tf - ti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 </w:t>
      </w:r>
      <w:sdt>
        <w:sdtPr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 ⇒      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</w:t>
      </w:r>
      <m:oMath>
        <m:f>
          <m:fPr>
            <m:ctrlPr>
              <w:rPr>
                <w:rFonts w:ascii="Times New Roman" w:cs="Times New Roman" w:eastAsia="Times New Roman" w:hAnsi="Times New Roman"/>
                <w:sz w:val="36"/>
                <w:szCs w:val="36"/>
              </w:rPr>
            </m:ctrlPr>
          </m:fPr>
          <m:num>
            <m:r>
              <m:t>Δ</m:t>
            </m:r>
            <m:r>
              <w:rPr>
                <w:rFonts w:ascii="Times New Roman" w:cs="Times New Roman" w:eastAsia="Times New Roman" w:hAnsi="Times New Roman"/>
                <w:sz w:val="36"/>
                <w:szCs w:val="36"/>
              </w:rPr>
              <m:t xml:space="preserve">V</m:t>
            </m:r>
          </m:num>
          <m:den>
            <m:r>
              <w:rPr>
                <w:rFonts w:ascii="Times New Roman" w:cs="Times New Roman" w:eastAsia="Times New Roman" w:hAnsi="Times New Roman"/>
                <w:sz w:val="36"/>
                <w:szCs w:val="36"/>
              </w:rPr>
              <m:t>Δ</m:t>
            </m:r>
            <m:r>
              <w:rPr>
                <w:rFonts w:ascii="Times New Roman" w:cs="Times New Roman" w:eastAsia="Times New Roman" w:hAnsi="Times New Roman"/>
                <w:sz w:val="36"/>
                <w:szCs w:val="36"/>
              </w:rPr>
              <m:t xml:space="preserve">t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 </w:t>
      </w:r>
    </w:p>
    <w:p w:rsidR="00000000" w:rsidDel="00000000" w:rsidP="00000000" w:rsidRDefault="00000000" w:rsidRPr="00000000" w14:paraId="000000A7">
      <w:pPr>
        <w:spacing w:after="0" w:line="276" w:lineRule="auto"/>
        <w:ind w:left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S =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 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+ Vt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rtl w:val="0"/>
        </w:rPr>
        <w:t xml:space="preserve">       </w:t>
      </w: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Aula 7 - Tempo de reação e freadas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571500</wp:posOffset>
            </wp:positionH>
            <wp:positionV relativeFrom="paragraph">
              <wp:posOffset>323850</wp:posOffset>
            </wp:positionV>
            <wp:extent cx="5715000" cy="2019300"/>
            <wp:effectExtent b="0" l="0" r="0" t="0"/>
            <wp:wrapSquare wrapText="bothSides" distB="114300" distT="114300" distL="114300" distR="114300"/>
            <wp:docPr id="6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019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E">
      <w:pPr>
        <w:spacing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660"/>
        <w:gridCol w:w="3900"/>
        <w:tblGridChange w:id="0">
          <w:tblGrid>
            <w:gridCol w:w="3240"/>
            <w:gridCol w:w="3660"/>
            <w:gridCol w:w="39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b5394"/>
                <w:sz w:val="24"/>
                <w:szCs w:val="24"/>
                <w:rtl w:val="0"/>
              </w:rPr>
              <w:t xml:space="preserve">Identificação do ponto, tempo ou distância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b5394"/>
                <w:sz w:val="24"/>
                <w:szCs w:val="24"/>
                <w:rtl w:val="0"/>
              </w:rPr>
              <w:t xml:space="preserve">Nome do ponto, tempo ou distância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b5394"/>
                <w:sz w:val="24"/>
                <w:szCs w:val="24"/>
                <w:rtl w:val="0"/>
              </w:rPr>
              <w:t xml:space="preserve">Significado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Ponto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instante de percepção do estímulo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instante que seus olhos percebem o movimento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de reação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intervalo de tempo de olhar o obstáculo e pisar no freio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distância de reação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distância percorrida durante o TR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Ponto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início da frenagem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momento no qual o motorista pisa no freio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da frenagem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intervalo de tempo gasto na frenagem do veículo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distância da frenagem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distância percorrida durante a frenagem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Ponto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instante em que o carro para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 = TR + TF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distância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DT = DR + DR</w:t>
            </w:r>
          </w:p>
        </w:tc>
      </w:tr>
    </w:tbl>
    <w:p w:rsidR="00000000" w:rsidDel="00000000" w:rsidP="00000000" w:rsidRDefault="00000000" w:rsidRPr="00000000" w14:paraId="000000D6">
      <w:pPr>
        <w:spacing w:line="240" w:lineRule="auto"/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Impact" w:cs="Impact" w:eastAsia="Impact" w:hAnsi="Impac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Impact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F137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023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23DB"/>
  </w:style>
  <w:style w:type="paragraph" w:styleId="Footer">
    <w:name w:val="footer"/>
    <w:basedOn w:val="Normal"/>
    <w:link w:val="FooterChar"/>
    <w:uiPriority w:val="99"/>
    <w:unhideWhenUsed w:val="1"/>
    <w:rsid w:val="008023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23DB"/>
  </w:style>
  <w:style w:type="character" w:styleId="PlaceholderText">
    <w:name w:val="Placeholder Text"/>
    <w:basedOn w:val="DefaultParagraphFont"/>
    <w:uiPriority w:val="99"/>
    <w:semiHidden w:val="1"/>
    <w:rsid w:val="006C11FE"/>
    <w:rPr>
      <w:color w:val="808080"/>
    </w:rPr>
  </w:style>
  <w:style w:type="table" w:styleId="TableGrid">
    <w:name w:val="Table Grid"/>
    <w:basedOn w:val="TableNormal"/>
    <w:uiPriority w:val="39"/>
    <w:rsid w:val="00633A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gif"/><Relationship Id="rId22" Type="http://schemas.openxmlformats.org/officeDocument/2006/relationships/image" Target="media/image16.png"/><Relationship Id="rId21" Type="http://schemas.openxmlformats.org/officeDocument/2006/relationships/image" Target="media/image2.gif"/><Relationship Id="rId24" Type="http://schemas.openxmlformats.org/officeDocument/2006/relationships/image" Target="media/image17.png"/><Relationship Id="rId23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26" Type="http://schemas.openxmlformats.org/officeDocument/2006/relationships/image" Target="media/image19.png"/><Relationship Id="rId25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6.jpg"/><Relationship Id="rId11" Type="http://schemas.openxmlformats.org/officeDocument/2006/relationships/image" Target="media/image15.png"/><Relationship Id="rId10" Type="http://schemas.openxmlformats.org/officeDocument/2006/relationships/image" Target="media/image13.png"/><Relationship Id="rId13" Type="http://schemas.openxmlformats.org/officeDocument/2006/relationships/image" Target="media/image8.png"/><Relationship Id="rId12" Type="http://schemas.openxmlformats.org/officeDocument/2006/relationships/image" Target="media/image14.png"/><Relationship Id="rId15" Type="http://schemas.openxmlformats.org/officeDocument/2006/relationships/image" Target="media/image7.png"/><Relationship Id="rId14" Type="http://schemas.openxmlformats.org/officeDocument/2006/relationships/image" Target="media/image4.png"/><Relationship Id="rId17" Type="http://schemas.openxmlformats.org/officeDocument/2006/relationships/image" Target="media/image10.gif"/><Relationship Id="rId16" Type="http://schemas.openxmlformats.org/officeDocument/2006/relationships/image" Target="media/image11.gif"/><Relationship Id="rId19" Type="http://schemas.openxmlformats.org/officeDocument/2006/relationships/image" Target="media/image1.gif"/><Relationship Id="rId18" Type="http://schemas.openxmlformats.org/officeDocument/2006/relationships/image" Target="media/image12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zSNf3TPZLNWZ34fijRJ3tl4tKQ==">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2019-08-22T14:06:00Z</dcterms:created>
  <dc:creator>ANA LUISA ALBERTINI YAGI</dc:creator>
</cp:coreProperties>
</file>